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fntdata" ContentType="application/x-fontdata"/>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c>
          <w:tcPr>
            <w:tcW w:type="dxa" w:w="9865"/>
            <w:shd w:val="clear" w:color="auto" w:fill="35394F"/>
            <w:tcMar>
              <w:top w:w="240" w:type="dxa"/>
              <w:left w:w="0" w:type="dxa"/>
              <w:bottom w:w="240" w:type="dxa"/>
              <w:right w:w="0" w:type="dxa"/>
            </w:tcMar>
          </w:tcPr>
          <w:p>
            <w:pPr>
              <w:spacing w:before="0" w:after="0" w:line="240" w:lineRule="auto"/>
              <w:ind w:left="260" w:right="260"/>
              <w:jc w:val="right"/>
            </w:pPr>
            <w:hyperlink r:id="rId10">
              <w:r>
                <w:drawing>
                  <wp:inline xmlns:a="http://schemas.openxmlformats.org/drawingml/2006/main" xmlns:pic="http://schemas.openxmlformats.org/drawingml/2006/picture">
                    <wp:extent cx="720000" cy="391800"/>
                    <wp:docPr id="1" name="Picture 1" descr="ETHYX — ethyx.eu" title="ETHYX — ethyx.eu"/>
                    <wp:cNvGraphicFramePr>
                      <a:graphicFrameLocks noChangeAspect="1"/>
                    </wp:cNvGraphicFramePr>
                    <a:graphic>
                      <a:graphicData uri="http://schemas.openxmlformats.org/drawingml/2006/picture">
                        <pic:pic>
                          <pic:nvPicPr>
                            <pic:cNvPr id="0" name="logo-lockup.png"/>
                            <pic:cNvPicPr/>
                          </pic:nvPicPr>
                          <pic:blipFill>
                            <a:blip r:embed="rId9"/>
                            <a:stretch>
                              <a:fillRect/>
                            </a:stretch>
                          </pic:blipFill>
                          <pic:spPr>
                            <a:xfrm>
                              <a:off x="0" y="0"/>
                              <a:ext cx="720000" cy="391800"/>
                            </a:xfrm>
                            <a:prstGeom prst="rect"/>
                          </pic:spPr>
                        </pic:pic>
                      </a:graphicData>
                    </a:graphic>
                  </wp:inline>
                </w:drawing>
              </w:r>
            </w:hyperlink>
          </w:p>
          <w:p>
            <w:pPr>
              <w:spacing w:before="0" w:after="0" w:line="240" w:lineRule="exact"/>
              <w:ind w:left="260" w:right="260"/>
            </w:pPr>
          </w:p>
          <w:p>
            <w:pPr>
              <w:spacing w:before="0" w:after="0" w:line="252" w:lineRule="auto"/>
              <w:ind w:left="260" w:right="260"/>
            </w:pPr>
            <w:r>
              <w:rPr>
                <w:rFonts w:ascii="Funnel Display" w:hAnsi="Funnel Display" w:cs="Funnel Display" w:eastAsia="Funnel Display"/>
                <w:b/>
                <w:i w:val="0"/>
                <w:color w:val="FFFFFF"/>
                <w:sz w:val="44"/>
              </w:rPr>
              <w:t>Staff Training Template &amp; Tracker</w:t>
            </w:r>
          </w:p>
          <w:p>
            <w:pPr>
              <w:spacing w:before="100" w:after="0" w:line="276" w:lineRule="auto"/>
              <w:ind w:left="260" w:right="260"/>
            </w:pPr>
            <w:r>
              <w:rPr>
                <w:rFonts w:ascii="Inter" w:hAnsi="Inter" w:cs="Inter" w:eastAsia="Inter"/>
                <w:b w:val="0"/>
                <w:i w:val="0"/>
                <w:color w:val="FFFFFF"/>
                <w:sz w:val="21"/>
              </w:rPr>
              <w:t>Data protection (GDPR) + AI literacy training · For SMEs · EN</w:t>
            </w:r>
          </w:p>
          <w:p>
            <w:pPr>
              <w:spacing w:before="140" w:after="0" w:line="288" w:lineRule="auto"/>
              <w:ind w:left="260" w:right="260"/>
            </w:pPr>
            <w:r>
              <w:rPr>
                <w:rFonts w:ascii="Inter" w:hAnsi="Inter" w:cs="Inter" w:eastAsia="Inter"/>
                <w:b w:val="0"/>
                <w:i w:val="0"/>
                <w:color w:val="E5E7EB"/>
                <w:sz w:val="15"/>
              </w:rPr>
              <w:t>Legally reviewed by a certified Data Protection Officer (CIPP/E) · Provided by ETHYX · Version 1.1 · July 2026</w:t>
            </w:r>
          </w:p>
        </w:tc>
      </w:tr>
    </w:tbl>
    <w:p>
      <w:pPr>
        <w:shd w:val="clear" w:color="auto" w:fill="E34663"/>
        <w:spacing w:before="0" w:after="200" w:line="60" w:lineRule="exact"/>
      </w:pPr>
    </w:p>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Two laws require you to train staff: GDPR Art. 39 (data protection awareness) and EU AI Act Art. 4 (AI literacy). This template covers both in one programme. Use Part A to plan, Part B as your session content, Part C to check understanding, and the Part D tracker to record completion – your evidence if audited. Adapt depth to each role; delete this box and all [placeholders] before finalising.</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Why training is a documented obligation</w:t>
      </w:r>
    </w:p>
    <w:p>
      <w:pPr>
        <w:spacing w:before="0" w:after="120" w:line="324" w:lineRule="auto"/>
        <w:ind w:left="260" w:right="260"/>
      </w:pPr>
      <w:r>
        <w:rPr>
          <w:rFonts w:ascii="Inter" w:hAnsi="Inter" w:cs="Inter" w:eastAsia="Inter"/>
          <w:b w:val="0"/>
          <w:i w:val="0"/>
          <w:color w:val="35394F"/>
          <w:sz w:val="20"/>
        </w:rPr>
        <w:t>Training is not just good practice – it is something you must be able to prove. Under GDPR accountability (Art. 5(2)) and AI Act Art. 4, the records of who was trained, when, and on what are your evidence of compliance. A supervisory authority will ask for them. Keep the Part D tracker current.</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Part A – Training plan</w:t>
      </w:r>
    </w:p>
    <w:p>
      <w:pPr>
        <w:spacing w:before="0" w:after="120" w:line="324" w:lineRule="auto"/>
        <w:ind w:left="260" w:right="260"/>
      </w:pPr>
      <w:r>
        <w:rPr>
          <w:rFonts w:ascii="Inter" w:hAnsi="Inter" w:cs="Inter" w:eastAsia="Inter"/>
          <w:b w:val="0"/>
          <w:i w:val="0"/>
          <w:color w:val="35394F"/>
          <w:sz w:val="20"/>
        </w:rPr>
        <w:t>Define the programme before delivery.</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Organisation:  ([COMPANY NAME])</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Training coordinator:  (Name, role)</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Audience:  (All staff / specific teams)</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Format:  (Workshop / e-learning / onboarding)</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Planned date(s):</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Frequency:  (e.g. on hire + annual refresh)</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Part B – Training content</w:t>
      </w:r>
    </w:p>
    <w:p>
      <w:pPr>
        <w:spacing w:before="0" w:after="120" w:line="324" w:lineRule="auto"/>
        <w:ind w:left="260" w:right="260"/>
      </w:pPr>
      <w:r>
        <w:rPr>
          <w:rFonts w:ascii="Inter" w:hAnsi="Inter" w:cs="Inter" w:eastAsia="Inter"/>
          <w:b w:val="0"/>
          <w:i w:val="0"/>
          <w:color w:val="35394F"/>
          <w:sz w:val="20"/>
        </w:rPr>
        <w:t>The programme has two streams. Stream 1 (GDPR) applies to everyone who handles personal data. Stream 2 (AI literacy) applies to everyone who uses AI tools. Most staff need both.</w:t>
      </w:r>
    </w:p>
    <w:p>
      <w:pPr>
        <w:keepNext w:val="1"/>
        <w:keepLines w:val="1"/>
        <w:spacing w:before="180" w:after="60" w:line="276" w:lineRule="auto"/>
        <w:ind w:left="260" w:right="260"/>
      </w:pPr>
      <w:r>
        <w:rPr>
          <w:rFonts w:ascii="Funnel Display" w:hAnsi="Funnel Display" w:cs="Funnel Display" w:eastAsia="Funnel Display"/>
          <w:b/>
          <w:i w:val="0"/>
          <w:color w:val="35394F"/>
          <w:sz w:val="21"/>
        </w:rPr>
        <w:t>Stream 1 – Data protection essentials (GDPR)</w:t>
      </w:r>
    </w:p>
    <w:p>
      <w:pPr>
        <w:keepNext w:val="1"/>
        <w:keepLines w:val="1"/>
        <w:spacing w:before="180" w:after="60" w:line="276" w:lineRule="auto"/>
        <w:ind w:left="260" w:right="260"/>
      </w:pPr>
      <w:r>
        <w:rPr>
          <w:rFonts w:ascii="Funnel Display" w:hAnsi="Funnel Display" w:cs="Funnel Display" w:eastAsia="Funnel Display"/>
          <w:b/>
          <w:i w:val="0"/>
          <w:color w:val="35394F"/>
          <w:sz w:val="21"/>
        </w:rPr>
        <w:t>Module 1 – What personal data is &amp; the core principles (15 min)</w:t>
      </w:r>
    </w:p>
    <w:p>
      <w:pPr>
        <w:spacing w:before="0" w:after="120" w:line="324" w:lineRule="auto"/>
        <w:ind w:left="260" w:right="260"/>
      </w:pPr>
      <w:r>
        <w:rPr>
          <w:rFonts w:ascii="Inter" w:hAnsi="Inter" w:cs="Inter" w:eastAsia="Inter"/>
          <w:b w:val="0"/>
          <w:i w:val="0"/>
          <w:color w:val="35394F"/>
          <w:sz w:val="20"/>
        </w:rPr>
        <w:t>Objective: staff recognise personal data and the rules around it.</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What counts as personal data and special-category data (Art. 4, 9).</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The six principles of Art. 5(1): (a) lawfulness, fairness &amp; transparency; (b) purpose limitation; (c) data minimisation; (d) accuracy; (e) storage limitation; (f) integrity &amp; confidentiality (security).</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i w:val="0"/>
          <w:color w:val="E34663"/>
          <w:sz w:val="20"/>
        </w:rPr>
        <w:t>[Insert: the main types of personal data your team handles.]</w:t>
      </w:r>
    </w:p>
    <w:p>
      <w:pPr>
        <w:keepNext w:val="1"/>
        <w:keepLines w:val="1"/>
        <w:spacing w:before="180" w:after="60" w:line="276" w:lineRule="auto"/>
        <w:ind w:left="260" w:right="260"/>
      </w:pPr>
      <w:r>
        <w:rPr>
          <w:rFonts w:ascii="Funnel Display" w:hAnsi="Funnel Display" w:cs="Funnel Display" w:eastAsia="Funnel Display"/>
          <w:b/>
          <w:i w:val="0"/>
          <w:color w:val="35394F"/>
          <w:sz w:val="21"/>
        </w:rPr>
        <w:t>Module 2 – Everyday data protection habits (20 min)</w:t>
      </w:r>
    </w:p>
    <w:p>
      <w:pPr>
        <w:spacing w:before="0" w:after="120" w:line="324" w:lineRule="auto"/>
        <w:ind w:left="260" w:right="260"/>
      </w:pPr>
      <w:r>
        <w:rPr>
          <w:rFonts w:ascii="Inter" w:hAnsi="Inter" w:cs="Inter" w:eastAsia="Inter"/>
          <w:b w:val="0"/>
          <w:i w:val="0"/>
          <w:color w:val="35394F"/>
          <w:sz w:val="20"/>
        </w:rPr>
        <w:t>Objective: staff apply safe handling day to day.</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Need-to-know access; lock screens; strong authentication.</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Email and sharing hygiene – no personal data to the wrong recipient.</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Recognise and report a data breach immediately (the 72-hour clock).</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Recognise a data subject request and pass it to the right person.</w:t>
      </w:r>
    </w:p>
    <w:p>
      <w:pPr>
        <w:keepNext w:val="1"/>
        <w:keepLines w:val="1"/>
        <w:spacing w:before="180" w:after="60" w:line="276" w:lineRule="auto"/>
        <w:ind w:left="260" w:right="260"/>
      </w:pPr>
      <w:r>
        <w:rPr>
          <w:rFonts w:ascii="Funnel Display" w:hAnsi="Funnel Display" w:cs="Funnel Display" w:eastAsia="Funnel Display"/>
          <w:b/>
          <w:i w:val="0"/>
          <w:color w:val="35394F"/>
          <w:sz w:val="21"/>
        </w:rPr>
        <w:t>Module 3 – Individuals' rights &amp; our duties (10 min)</w:t>
      </w:r>
    </w:p>
    <w:p>
      <w:pPr>
        <w:spacing w:before="0" w:after="120" w:line="324" w:lineRule="auto"/>
        <w:ind w:left="260" w:right="260"/>
      </w:pPr>
      <w:r>
        <w:rPr>
          <w:rFonts w:ascii="Inter" w:hAnsi="Inter" w:cs="Inter" w:eastAsia="Inter"/>
          <w:b w:val="0"/>
          <w:i w:val="0"/>
          <w:color w:val="35394F"/>
          <w:sz w:val="20"/>
        </w:rPr>
        <w:t>Objective: staff know rights exist and how we respond.</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Access, rectification, erasure, objection and the response deadline (one month).</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i w:val="0"/>
          <w:color w:val="E34663"/>
          <w:sz w:val="20"/>
        </w:rPr>
        <w:t>[Insert: who handles requests in your organisation and how to escalate.]</w:t>
      </w:r>
    </w:p>
    <w:p>
      <w:pPr>
        <w:keepNext w:val="1"/>
        <w:keepLines w:val="1"/>
        <w:spacing w:before="180" w:after="60" w:line="276" w:lineRule="auto"/>
        <w:ind w:left="260" w:right="260"/>
      </w:pPr>
      <w:r>
        <w:rPr>
          <w:rFonts w:ascii="Funnel Display" w:hAnsi="Funnel Display" w:cs="Funnel Display" w:eastAsia="Funnel Display"/>
          <w:b/>
          <w:i w:val="0"/>
          <w:color w:val="35394F"/>
          <w:sz w:val="21"/>
        </w:rPr>
        <w:t>Stream 2 – AI literacy (EU AI Act Art. 4)</w:t>
      </w:r>
    </w:p>
    <w:p>
      <w:pPr>
        <w:keepNext w:val="1"/>
        <w:keepLines w:val="1"/>
        <w:spacing w:before="180" w:after="60" w:line="276" w:lineRule="auto"/>
        <w:ind w:left="260" w:right="260"/>
      </w:pPr>
      <w:r>
        <w:rPr>
          <w:rFonts w:ascii="Funnel Display" w:hAnsi="Funnel Display" w:cs="Funnel Display" w:eastAsia="Funnel Display"/>
          <w:b/>
          <w:i w:val="0"/>
          <w:color w:val="35394F"/>
          <w:sz w:val="21"/>
        </w:rPr>
        <w:t>Module 4 – Understanding AI at work (15 min)</w:t>
      </w:r>
    </w:p>
    <w:p>
      <w:pPr>
        <w:spacing w:before="0" w:after="120" w:line="324" w:lineRule="auto"/>
        <w:ind w:left="260" w:right="260"/>
      </w:pPr>
      <w:r>
        <w:rPr>
          <w:rFonts w:ascii="Inter" w:hAnsi="Inter" w:cs="Inter" w:eastAsia="Inter"/>
          <w:b w:val="0"/>
          <w:i w:val="0"/>
          <w:color w:val="35394F"/>
          <w:sz w:val="20"/>
        </w:rPr>
        <w:t>Objective: staff recognise AI systems and their risk level.</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What an AI system is (Art. 3(1) AI Act) and examples we use.</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The four risk levels: prohibited / high / limited / minimal.</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i w:val="0"/>
          <w:color w:val="E34663"/>
          <w:sz w:val="20"/>
        </w:rPr>
        <w:t>[Insert: the AI tools your organisation uses and their classification.]</w:t>
      </w:r>
    </w:p>
    <w:p>
      <w:pPr>
        <w:keepNext w:val="1"/>
        <w:keepLines w:val="1"/>
        <w:spacing w:before="180" w:after="60" w:line="276" w:lineRule="auto"/>
        <w:ind w:left="260" w:right="260"/>
      </w:pPr>
      <w:r>
        <w:rPr>
          <w:rFonts w:ascii="Funnel Display" w:hAnsi="Funnel Display" w:cs="Funnel Display" w:eastAsia="Funnel Display"/>
          <w:b/>
          <w:i w:val="0"/>
          <w:color w:val="35394F"/>
          <w:sz w:val="21"/>
        </w:rPr>
        <w:t>Module 5 – Using AI responsibly (15 min)</w:t>
      </w:r>
    </w:p>
    <w:p>
      <w:pPr>
        <w:spacing w:before="0" w:after="120" w:line="324" w:lineRule="auto"/>
        <w:ind w:left="260" w:right="260"/>
      </w:pPr>
      <w:r>
        <w:rPr>
          <w:rFonts w:ascii="Inter" w:hAnsi="Inter" w:cs="Inter" w:eastAsia="Inter"/>
          <w:b w:val="0"/>
          <w:i w:val="0"/>
          <w:color w:val="35394F"/>
          <w:sz w:val="20"/>
        </w:rPr>
        <w:t>Objective: staff apply safe-use habits with AI.</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Never paste confidential or personal data into public AI tools without approval.</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Verify outputs – AI can be confidently wrong (hallucinations).</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Human oversight: AI assists, humans decide on matters affecting people.</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Disclose AI use where required (Art. 50) and follow our AI acceptable-use policy.</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Part C – Knowledge check</w:t>
      </w:r>
    </w:p>
    <w:p>
      <w:pPr>
        <w:spacing w:before="0" w:after="120" w:line="324" w:lineRule="auto"/>
        <w:ind w:left="260" w:right="260"/>
      </w:pPr>
      <w:r>
        <w:rPr>
          <w:rFonts w:ascii="Inter" w:hAnsi="Inter" w:cs="Inter" w:eastAsia="Inter"/>
          <w:b w:val="0"/>
          <w:i w:val="0"/>
          <w:color w:val="35394F"/>
          <w:sz w:val="20"/>
        </w:rPr>
        <w:t>A short check confirms understanding and documents effective training. Adapt to your context.</w:t>
      </w:r>
    </w:p>
    <w:p>
      <w:pPr>
        <w:spacing w:before="0" w:after="60" w:line="324" w:lineRule="auto"/>
        <w:ind w:left="657" w:hanging="397" w:right="260"/>
      </w:pPr>
      <w:r>
        <w:rPr>
          <w:rFonts w:ascii="Inter" w:hAnsi="Inter" w:cs="Inter" w:eastAsia="Inter"/>
          <w:b/>
          <w:i w:val="0"/>
          <w:color w:val="E34663"/>
          <w:sz w:val="20"/>
        </w:rPr>
        <w:t>1.</w:t>
        <w:tab/>
      </w:r>
      <w:r>
        <w:rPr>
          <w:rFonts w:ascii="Inter" w:hAnsi="Inter" w:cs="Inter" w:eastAsia="Inter"/>
          <w:b w:val="0"/>
          <w:i w:val="0"/>
          <w:color w:val="35394F"/>
          <w:sz w:val="20"/>
        </w:rPr>
        <w:t>Name two types of personal data your team handles.</w:t>
      </w:r>
    </w:p>
    <w:p>
      <w:pPr>
        <w:spacing w:before="0" w:after="60" w:line="324" w:lineRule="auto"/>
        <w:ind w:left="657" w:hanging="397" w:right="260"/>
      </w:pPr>
      <w:r>
        <w:rPr>
          <w:rFonts w:ascii="Inter" w:hAnsi="Inter" w:cs="Inter" w:eastAsia="Inter"/>
          <w:b/>
          <w:i w:val="0"/>
          <w:color w:val="E34663"/>
          <w:sz w:val="20"/>
        </w:rPr>
        <w:t>2.</w:t>
        <w:tab/>
      </w:r>
      <w:r>
        <w:rPr>
          <w:rFonts w:ascii="Inter" w:hAnsi="Inter" w:cs="Inter" w:eastAsia="Inter"/>
          <w:b w:val="0"/>
          <w:i w:val="0"/>
          <w:color w:val="35394F"/>
          <w:sz w:val="20"/>
        </w:rPr>
        <w:t>What should you do the moment you suspect a data breach?</w:t>
      </w:r>
    </w:p>
    <w:p>
      <w:pPr>
        <w:spacing w:before="0" w:after="60" w:line="324" w:lineRule="auto"/>
        <w:ind w:left="657" w:hanging="397" w:right="260"/>
      </w:pPr>
      <w:r>
        <w:rPr>
          <w:rFonts w:ascii="Inter" w:hAnsi="Inter" w:cs="Inter" w:eastAsia="Inter"/>
          <w:b/>
          <w:i w:val="0"/>
          <w:color w:val="E34663"/>
          <w:sz w:val="20"/>
        </w:rPr>
        <w:t>3.</w:t>
        <w:tab/>
      </w:r>
      <w:r>
        <w:rPr>
          <w:rFonts w:ascii="Inter" w:hAnsi="Inter" w:cs="Inter" w:eastAsia="Inter"/>
          <w:b w:val="0"/>
          <w:i w:val="0"/>
          <w:color w:val="35394F"/>
          <w:sz w:val="20"/>
        </w:rPr>
        <w:t>Name one AI tool we use and its risk level.</w:t>
      </w:r>
    </w:p>
    <w:p>
      <w:pPr>
        <w:spacing w:before="0" w:after="60" w:line="324" w:lineRule="auto"/>
        <w:ind w:left="657" w:hanging="397" w:right="260"/>
      </w:pPr>
      <w:r>
        <w:rPr>
          <w:rFonts w:ascii="Inter" w:hAnsi="Inter" w:cs="Inter" w:eastAsia="Inter"/>
          <w:b/>
          <w:i w:val="0"/>
          <w:color w:val="E34663"/>
          <w:sz w:val="20"/>
        </w:rPr>
        <w:t>4.</w:t>
        <w:tab/>
      </w:r>
      <w:r>
        <w:rPr>
          <w:rFonts w:ascii="Inter" w:hAnsi="Inter" w:cs="Inter" w:eastAsia="Inter"/>
          <w:b w:val="0"/>
          <w:i w:val="0"/>
          <w:color w:val="35394F"/>
          <w:sz w:val="20"/>
        </w:rPr>
        <w:t>What data must never go into a public AI tool without approval?</w:t>
      </w:r>
    </w:p>
    <w:p>
      <w:pPr>
        <w:spacing w:before="0" w:after="60" w:line="324" w:lineRule="auto"/>
        <w:ind w:left="657" w:hanging="397" w:right="260"/>
      </w:pPr>
      <w:r>
        <w:rPr>
          <w:rFonts w:ascii="Inter" w:hAnsi="Inter" w:cs="Inter" w:eastAsia="Inter"/>
          <w:b/>
          <w:i w:val="0"/>
          <w:color w:val="E34663"/>
          <w:sz w:val="20"/>
        </w:rPr>
        <w:t>5.</w:t>
        <w:tab/>
      </w:r>
      <w:r>
        <w:rPr>
          <w:rFonts w:ascii="Inter" w:hAnsi="Inter" w:cs="Inter" w:eastAsia="Inter"/>
          <w:b w:val="0"/>
          <w:i w:val="0"/>
          <w:color w:val="35394F"/>
          <w:sz w:val="20"/>
        </w:rPr>
        <w:t>Who do you contact about a data subject request or an AI concern?</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Part D – Completion tracker</w:t>
      </w:r>
    </w:p>
    <w:p>
      <w:pPr>
        <w:spacing w:before="0" w:after="120" w:line="324" w:lineRule="auto"/>
        <w:ind w:left="260" w:right="260"/>
      </w:pPr>
      <w:r>
        <w:rPr>
          <w:rFonts w:ascii="Inter" w:hAnsi="Inter" w:cs="Inter" w:eastAsia="Inter"/>
          <w:b w:val="0"/>
          <w:i w:val="0"/>
          <w:color w:val="35394F"/>
          <w:sz w:val="20"/>
        </w:rPr>
        <w:t>Record every person who completes training. This is your Art. 5(2) GDPR and Art. 4 AI Act compliance evidence. Mark which streams each person completed and set the next-due date.</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1242"/>
        <w:gridCol w:w="1772"/>
        <w:gridCol w:w="1374"/>
        <w:gridCol w:w="1437"/>
        <w:gridCol w:w="1647"/>
        <w:gridCol w:w="1060"/>
        <w:gridCol w:w="1333"/>
      </w:tblGrid>
      <w:tr>
        <w:trPr>
          <w:cantSplit w:val="1"/>
          <w:tblHeader w:val="1"/>
        </w:trPr>
        <w:tc>
          <w:tcPr>
            <w:tcW w:type="dxa" w:w="1242"/>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Name</w:t>
            </w:r>
          </w:p>
        </w:tc>
        <w:tc>
          <w:tcPr>
            <w:tcW w:type="dxa" w:w="1772"/>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Department / Role</w:t>
            </w:r>
          </w:p>
        </w:tc>
        <w:tc>
          <w:tcPr>
            <w:tcW w:type="dxa" w:w="1374"/>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GDPR (Stream 1)</w:t>
            </w:r>
          </w:p>
        </w:tc>
        <w:tc>
          <w:tcPr>
            <w:tcW w:type="dxa" w:w="1437"/>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AI literacy (Stream 2)</w:t>
            </w:r>
          </w:p>
        </w:tc>
        <w:tc>
          <w:tcPr>
            <w:tcW w:type="dxa" w:w="1647"/>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Date completed</w:t>
            </w:r>
          </w:p>
        </w:tc>
        <w:tc>
          <w:tcPr>
            <w:tcW w:type="dxa" w:w="1060"/>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Next due</w:t>
            </w:r>
          </w:p>
        </w:tc>
        <w:tc>
          <w:tcPr>
            <w:tcW w:type="dxa" w:w="1333"/>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Trainer initials</w:t>
            </w:r>
          </w:p>
        </w:tc>
      </w:tr>
      <w:tr>
        <w:trPr>
          <w:cantSplit w:val="1"/>
        </w:trPr>
        <w:tc>
          <w:tcPr>
            <w:tcW w:type="dxa" w:w="1242"/>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177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74"/>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437"/>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64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06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3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242"/>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177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74"/>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437"/>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64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06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3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1242"/>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177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74"/>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437"/>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64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06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3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242"/>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177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74"/>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437"/>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64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06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3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1242"/>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177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74"/>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437"/>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64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06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3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242"/>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177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74"/>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437"/>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64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06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3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1242"/>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177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74"/>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437"/>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64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06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3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242"/>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177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74"/>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437"/>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64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06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3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1242"/>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177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74"/>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437"/>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64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06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3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242"/>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177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74"/>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437"/>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64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06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3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1242"/>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177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74"/>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437"/>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64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06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3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242"/>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177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74"/>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437"/>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c>
          <w:tcPr>
            <w:tcW w:type="dxa" w:w="164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06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3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bl>
    <w:p>
      <w:pPr>
        <w:spacing w:before="0" w:after="0" w:line="160" w:lineRule="exact"/>
      </w:pPr>
    </w:p>
    <w:p>
      <w:pPr>
        <w:pBdr>
          <w:top w:val="single" w:sz="4" w:space="0" w:color="E5E7EB"/>
        </w:pBdr>
        <w:spacing w:before="200" w:after="200" w:line="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rPr>
          <w:cantSplit w:val="1"/>
        </w:trPr>
        <w:tc>
          <w:tcPr>
            <w:tcW w:type="dxa" w:w="9865"/>
            <w:tcBorders>
              <w:top w:val="single" w:sz="8" w:space="0" w:color="35394F"/>
            </w:tcBorders>
            <w:shd w:val="clear" w:color="auto" w:fill="F9FAFB"/>
            <w:tcMar>
              <w:top w:w="150" w:type="dxa"/>
              <w:left w:w="0" w:type="dxa"/>
              <w:bottom w:w="150" w:type="dxa"/>
              <w:right w:w="0" w:type="dxa"/>
            </w:tcMar>
          </w:tcPr>
          <w:p>
            <w:pPr>
              <w:spacing w:before="0" w:after="0" w:line="312" w:lineRule="auto"/>
              <w:ind w:left="260" w:right="260"/>
            </w:pPr>
            <w:r>
              <w:rPr>
                <w:rFonts w:ascii="Inter" w:hAnsi="Inter" w:cs="Inter" w:eastAsia="Inter"/>
                <w:b w:val="0"/>
                <w:i w:val="0"/>
                <w:color w:val="6B7280"/>
                <w:sz w:val="16"/>
              </w:rPr>
              <w:t>This template is provided for guidance only and does not constitute legal advice. It is based on Regulation (EU) 2016/679 (GDPR) and Regulation (EU) 2024/1689 (EU AI Act). Reviewed by a certified Data Protection Officer (CIPP/E). Provided by ETHYX – ethyx.eu. GDPR max fine: €20M / 4% turnover. EU AI Act max fine: €35M / 7% turnover. Version 1.1 · July 2026.</w:t>
            </w:r>
          </w:p>
        </w:tc>
      </w:tr>
    </w:tbl>
    <w:sectPr w:rsidR="00FC693F" w:rsidRPr="0006063C" w:rsidSect="00034616">
      <w:footerReference w:type="default" r:id="rId11"/>
      <w:pgSz w:w="11906" w:h="16838"/>
      <w:pgMar w:top="794" w:right="1020" w:bottom="850" w:left="1020" w:header="454"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Inter">
    <w:altName w:val="Arial"/>
    <w:embedRegular r:id="rId1" w:fontKey="{06A03635-EF33-4C15-BEE9-380755966CF8}"/>
    <w:embedBold r:id="rId2" w:fontKey="{13156D8B-9B98-4B91-9F87-8B4634CFDF71}"/>
  </w:font>
  <w:font w:name="Funnel Display">
    <w:altName w:val="Arial"/>
    <w:embedBold r:id="rId3" w:fontKey="{D7DDEDB7-1F4F-4B2F-BA87-F1851450642C}"/>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0" w:lineRule="exact"/>
    </w:pPr>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371"/>
      <w:gridCol w:w="493"/>
    </w:tblGrid>
    <w:tr>
      <w:tc>
        <w:tcPr>
          <w:tcW w:type="dxa" w:w="9371"/>
          <w:tcBorders>
            <w:top w:val="single" w:sz="4" w:space="0" w:color="E5E7EB"/>
          </w:tcBorders>
          <w:tcMar>
            <w:top w:w="110" w:type="dxa"/>
            <w:left w:w="0" w:type="dxa"/>
            <w:bottom w:w="0" w:type="dxa"/>
            <w:right w:w="0" w:type="dxa"/>
          </w:tcMar>
        </w:tcPr>
        <w:p>
          <w:pPr>
            <w:spacing w:before="0" w:after="0" w:line="240" w:lineRule="auto"/>
          </w:pPr>
          <w:r>
            <w:rPr>
              <w:rFonts w:ascii="Inter" w:hAnsi="Inter" w:cs="Inter" w:eastAsia="Inter"/>
              <w:b w:val="0"/>
              <w:i w:val="0"/>
              <w:color w:val="6B7280"/>
              <w:sz w:val="14"/>
            </w:rPr>
            <w:t>Staff Training Template &amp; Tracker · Reviewed by a certified Data Protection Officer (CIPP/E) · Provided by ETHYX (</w:t>
          </w:r>
          <w:hyperlink r:id="rId1">
            <w:r>
              <w:rPr>
                <w:rFonts w:ascii="Inter" w:hAnsi="Inter" w:cs="Inter" w:eastAsia="Inter"/>
                <w:b w:val="0"/>
                <w:i w:val="0"/>
                <w:color w:val="6B7280"/>
                <w:sz w:val="14"/>
              </w:rPr>
              <w:t>ethyx.eu</w:t>
            </w:r>
          </w:hyperlink>
          <w:r>
            <w:rPr>
              <w:rFonts w:ascii="Inter" w:hAnsi="Inter" w:cs="Inter" w:eastAsia="Inter"/>
              <w:b w:val="0"/>
              <w:i w:val="0"/>
              <w:color w:val="6B7280"/>
              <w:sz w:val="14"/>
            </w:rPr>
            <w:t>) · For guidance only – not legal advice</w:t>
          </w:r>
        </w:p>
      </w:tc>
      <w:tc>
        <w:tcPr>
          <w:tcW w:type="dxa" w:w="493"/>
          <w:tcBorders>
            <w:top w:val="single" w:sz="4" w:space="0" w:color="E5E7EB"/>
          </w:tcBorders>
          <w:tcMar>
            <w:top w:w="110" w:type="dxa"/>
            <w:left w:w="0" w:type="dxa"/>
            <w:bottom w:w="0" w:type="dxa"/>
            <w:right w:w="260" w:type="dxa"/>
          </w:tcMar>
        </w:tcPr>
        <w:p>
          <w:pPr>
            <w:spacing w:before="0" w:after="0" w:line="240" w:lineRule="auto"/>
            <w:jc w:val="right"/>
            <w:rPr>
              <w:rFonts w:ascii="Inter" w:hAnsi="Inter" w:cs="Inter" w:eastAsia="Inter"/>
              <w:b w:val="0"/>
              <w:i w:val="0"/>
              <w:color w:val="6B7280"/>
              <w:sz w:val="14"/>
            </w:rPr>
          </w:pPr>
          <w:r>
            <w:rPr>
              <w:rFonts w:ascii="Inter" w:hAnsi="Inter" w:cs="Inter" w:eastAsia="Inter"/>
              <w:b w:val="0"/>
              <w:i w:val="0"/>
              <w:color w:val="6B7280"/>
              <w:sz w:val="14"/>
            </w:rPr>
            <w:fldChar w:fldCharType="begin"/>
          </w:r>
          <w:r>
            <w:rPr>
              <w:rFonts w:ascii="Inter" w:hAnsi="Inter" w:cs="Inter" w:eastAsia="Inter"/>
              <w:b w:val="0"/>
              <w:i w:val="0"/>
              <w:color w:val="6B7280"/>
              <w:sz w:val="14"/>
            </w:rPr>
            <w:instrText xml:space="preserve"> PAGE </w:instrText>
          </w:r>
          <w:r>
            <w:rPr>
              <w:rFonts w:ascii="Inter" w:hAnsi="Inter" w:cs="Inter" w:eastAsia="Inter"/>
              <w:b w:val="0"/>
              <w:i w:val="0"/>
              <w:color w:val="6B7280"/>
              <w:sz w:val="14"/>
            </w:rPr>
            <w:fldChar w:fldCharType="separate"/>
          </w:r>
          <w:r>
            <w:rPr>
              <w:rFonts w:ascii="Inter" w:hAnsi="Inter" w:cs="Inter" w:eastAsia="Inter"/>
              <w:b w:val="0"/>
              <w:i w:val="0"/>
              <w:color w:val="6B7280"/>
              <w:sz w:val="14"/>
            </w:rPr>
            <w:t/>
          </w:r>
          <w:r>
            <w:rPr>
              <w:rFonts w:ascii="Inter" w:hAnsi="Inter" w:cs="Inter" w:eastAsia="Inter"/>
              <w:b w:val="0"/>
              <w:i w:val="0"/>
              <w:color w:val="6B7280"/>
              <w:sz w:val="14"/>
            </w:rPr>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embedTrueTypeFonts w:val="tru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0" w:lineRule="auto"/>
    </w:pPr>
    <w:rPr>
      <w:rFonts w:ascii="Inter" w:hAnsi="Inter" w:cs="Inter" w:eastAsia="Inter"/>
      <w:color w:val="35394F"/>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ethyx.eu/?utm_source=gated-asset&amp;utm_medium=document&amp;utm_campaign=staff-training-template-tracker-en" TargetMode="External"/><Relationship Id="rId11"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fntdata"/><Relationship Id="rId2" Type="http://schemas.openxmlformats.org/officeDocument/2006/relationships/font" Target="fonts/font2.fntdata"/><Relationship Id="rId3" Type="http://schemas.openxmlformats.org/officeDocument/2006/relationships/font" Target="fonts/font3.fntdata"/></Relationships>
</file>

<file path=word/_rels/footer1.xml.rels><?xml version='1.0' encoding='UTF-8' standalone='yes'?>
<Relationships xmlns="http://schemas.openxmlformats.org/package/2006/relationships"><Relationship Id="rId1" Type="http://schemas.openxmlformats.org/officeDocument/2006/relationships/hyperlink" Target="https://ethyx.eu/?utm_source=gated-asset&amp;utm_medium=document&amp;utm_campaign=staff-training-template-tracke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Training Template &amp; Tracker</dc:title>
  <dc:subject/>
  <dc:creator>ETHYX</dc:creator>
  <cp:keywords/>
  <dc:description>Legally reviewed by a certified Data Protection Officer (CIPP/E) · Provided by ETHYX · Version 1.1 · July 2026</dc:description>
  <cp:lastModifiedBy/>
  <cp:revision>1</cp:revision>
  <dcterms:created xsi:type="dcterms:W3CDTF">2013-12-23T23:15:00Z</dcterms:created>
  <dcterms:modified xsi:type="dcterms:W3CDTF">2013-12-23T23:15:00Z</dcterms:modified>
  <cp:category/>
</cp:coreProperties>
</file>